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587B" w14:textId="77777777" w:rsidR="00581B7D" w:rsidRDefault="005D5666" w:rsidP="004463A5">
      <w:pPr>
        <w:snapToGrid w:val="0"/>
        <w:jc w:val="center"/>
        <w:rPr>
          <w:rFonts w:ascii="微軟正黑體" w:eastAsia="微軟正黑體" w:hAnsi="微軟正黑體"/>
          <w:b/>
          <w:bCs/>
          <w:color w:val="3C4043"/>
          <w:spacing w:val="3"/>
          <w:sz w:val="28"/>
          <w:szCs w:val="28"/>
          <w:shd w:val="clear" w:color="auto" w:fill="FFFFFF"/>
        </w:rPr>
      </w:pPr>
      <w:r w:rsidRPr="00581B7D">
        <w:rPr>
          <w:rFonts w:ascii="微軟正黑體" w:eastAsia="微軟正黑體" w:hAnsi="微軟正黑體" w:hint="eastAsia"/>
          <w:b/>
          <w:bCs/>
          <w:color w:val="3C4043"/>
          <w:spacing w:val="3"/>
          <w:sz w:val="28"/>
          <w:szCs w:val="28"/>
          <w:shd w:val="clear" w:color="auto" w:fill="FFFFFF"/>
        </w:rPr>
        <w:t>「</w:t>
      </w:r>
      <w:r w:rsidR="00581B7D" w:rsidRPr="00581B7D">
        <w:rPr>
          <w:rFonts w:ascii="微軟正黑體" w:eastAsia="微軟正黑體" w:hAnsi="微軟正黑體" w:hint="eastAsia"/>
          <w:b/>
          <w:bCs/>
          <w:sz w:val="28"/>
          <w:szCs w:val="28"/>
        </w:rPr>
        <w:t>2020文化內容產業調查計畫</w:t>
      </w:r>
      <w:r w:rsidR="00581B7D" w:rsidRPr="00581B7D">
        <w:rPr>
          <w:rStyle w:val="normaltextrun"/>
          <w:rFonts w:ascii="微軟正黑體" w:eastAsia="微軟正黑體" w:hAnsi="微軟正黑體" w:hint="eastAsia"/>
          <w:b/>
          <w:bCs/>
          <w:color w:val="000000"/>
          <w:sz w:val="28"/>
          <w:szCs w:val="28"/>
          <w:shd w:val="clear" w:color="auto" w:fill="FFFFFF"/>
        </w:rPr>
        <w:t>協力調查專業委託服務</w:t>
      </w:r>
      <w:r w:rsidRPr="00581B7D">
        <w:rPr>
          <w:rFonts w:ascii="微軟正黑體" w:eastAsia="微軟正黑體" w:hAnsi="微軟正黑體" w:hint="eastAsia"/>
          <w:b/>
          <w:bCs/>
          <w:color w:val="3C4043"/>
          <w:spacing w:val="3"/>
          <w:sz w:val="28"/>
          <w:szCs w:val="28"/>
          <w:shd w:val="clear" w:color="auto" w:fill="FFFFFF"/>
        </w:rPr>
        <w:t>」</w:t>
      </w:r>
    </w:p>
    <w:p w14:paraId="6320F1AC" w14:textId="1D13249D" w:rsidR="00E06B20" w:rsidRPr="00581B7D" w:rsidRDefault="005D5666" w:rsidP="004463A5">
      <w:pPr>
        <w:snapToGrid w:val="0"/>
        <w:jc w:val="center"/>
        <w:rPr>
          <w:rFonts w:ascii="微軟正黑體" w:eastAsia="微軟正黑體" w:hAnsi="微軟正黑體"/>
          <w:b/>
          <w:bCs/>
          <w:color w:val="3C4043"/>
          <w:spacing w:val="3"/>
          <w:sz w:val="28"/>
          <w:szCs w:val="28"/>
          <w:shd w:val="clear" w:color="auto" w:fill="FFFFFF"/>
        </w:rPr>
      </w:pPr>
      <w:r w:rsidRPr="00581B7D">
        <w:rPr>
          <w:rFonts w:ascii="微軟正黑體" w:eastAsia="微軟正黑體" w:hAnsi="微軟正黑體" w:hint="eastAsia"/>
          <w:b/>
          <w:bCs/>
          <w:color w:val="3C4043"/>
          <w:spacing w:val="3"/>
          <w:sz w:val="28"/>
          <w:szCs w:val="28"/>
          <w:shd w:val="clear" w:color="auto" w:fill="FFFFFF"/>
        </w:rPr>
        <w:t>勞務採購案說明會紀錄</w:t>
      </w:r>
    </w:p>
    <w:p w14:paraId="01E440BC" w14:textId="44A986DE" w:rsidR="00716324" w:rsidRPr="00B7653F" w:rsidRDefault="00716324" w:rsidP="00B7653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時間：</w:t>
      </w:r>
      <w:r w:rsidRPr="00B7653F">
        <w:rPr>
          <w:rFonts w:ascii="微軟正黑體" w:eastAsia="微軟正黑體" w:hAnsi="微軟正黑體" w:cs="TimesNewRomanPSMT"/>
          <w:kern w:val="0"/>
          <w:sz w:val="28"/>
          <w:szCs w:val="28"/>
        </w:rPr>
        <w:t>1</w:t>
      </w:r>
      <w:r w:rsidR="005D5666" w:rsidRPr="00B7653F">
        <w:rPr>
          <w:rFonts w:ascii="微軟正黑體" w:eastAsia="微軟正黑體" w:hAnsi="微軟正黑體" w:cs="TimesNewRomanPSMT"/>
          <w:kern w:val="0"/>
          <w:sz w:val="28"/>
          <w:szCs w:val="28"/>
        </w:rPr>
        <w:t>09</w:t>
      </w:r>
      <w:r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年</w:t>
      </w:r>
      <w:r w:rsidR="00581B7D">
        <w:rPr>
          <w:rFonts w:ascii="微軟正黑體" w:eastAsia="微軟正黑體" w:hAnsi="微軟正黑體" w:cs="TimesNewRomanPSMT" w:hint="eastAsia"/>
          <w:kern w:val="0"/>
          <w:sz w:val="28"/>
          <w:szCs w:val="28"/>
        </w:rPr>
        <w:t>6</w:t>
      </w:r>
      <w:r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月</w:t>
      </w:r>
      <w:r w:rsidR="00581B7D">
        <w:rPr>
          <w:rFonts w:ascii="微軟正黑體" w:eastAsia="微軟正黑體" w:hAnsi="微軟正黑體" w:cs="TimesNewRomanPSMT" w:hint="eastAsia"/>
          <w:kern w:val="0"/>
          <w:sz w:val="28"/>
          <w:szCs w:val="28"/>
        </w:rPr>
        <w:t>3</w:t>
      </w:r>
      <w:r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日</w:t>
      </w:r>
      <w:r w:rsidRPr="00B7653F">
        <w:rPr>
          <w:rFonts w:ascii="微軟正黑體" w:eastAsia="微軟正黑體" w:hAnsi="微軟正黑體" w:cs="TimesNewRomanPSMT"/>
          <w:kern w:val="0"/>
          <w:sz w:val="28"/>
          <w:szCs w:val="28"/>
        </w:rPr>
        <w:t>(</w:t>
      </w:r>
      <w:r w:rsidR="00C93ABC"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星期</w:t>
      </w:r>
      <w:r w:rsidR="00581B7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三</w:t>
      </w:r>
      <w:r w:rsidRPr="00B7653F">
        <w:rPr>
          <w:rFonts w:ascii="微軟正黑體" w:eastAsia="微軟正黑體" w:hAnsi="微軟正黑體" w:cs="TimesNewRomanPSMT"/>
          <w:kern w:val="0"/>
          <w:sz w:val="28"/>
          <w:szCs w:val="28"/>
        </w:rPr>
        <w:t>)</w:t>
      </w:r>
      <w:r w:rsidR="00E87719"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下</w:t>
      </w:r>
      <w:r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午</w:t>
      </w:r>
      <w:r w:rsidR="005D5666" w:rsidRPr="00B7653F">
        <w:rPr>
          <w:rFonts w:ascii="微軟正黑體" w:eastAsia="微軟正黑體" w:hAnsi="微軟正黑體" w:cs="TimesNewRomanPSMT"/>
          <w:kern w:val="0"/>
          <w:sz w:val="28"/>
          <w:szCs w:val="28"/>
        </w:rPr>
        <w:t>2</w:t>
      </w:r>
      <w:r w:rsidRPr="00B7653F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時</w:t>
      </w:r>
    </w:p>
    <w:p w14:paraId="2C941955" w14:textId="587FC092" w:rsidR="00716324" w:rsidRPr="004463A5" w:rsidRDefault="00716324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地點：</w:t>
      </w:r>
      <w:proofErr w:type="gramStart"/>
      <w:r w:rsidR="005D5666" w:rsidRPr="004463A5">
        <w:rPr>
          <w:rStyle w:val="ynrlnc"/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台北文創大樓</w:t>
      </w:r>
      <w:proofErr w:type="gramEnd"/>
      <w:r w:rsidR="005D5666" w:rsidRPr="004463A5">
        <w:rPr>
          <w:rStyle w:val="ynrlnc"/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6樓多功能廳</w:t>
      </w:r>
    </w:p>
    <w:p w14:paraId="489C8BBA" w14:textId="405869AC" w:rsidR="00716324" w:rsidRPr="004463A5" w:rsidRDefault="00716324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主持人：</w:t>
      </w:r>
      <w:r w:rsidR="005D5666" w:rsidRPr="004463A5">
        <w:rPr>
          <w:rStyle w:val="ynrlnc"/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瞿筱葳處長</w:t>
      </w:r>
    </w:p>
    <w:p w14:paraId="38A931BE" w14:textId="35105F9C" w:rsidR="009F54B7" w:rsidRPr="004463A5" w:rsidRDefault="00716324" w:rsidP="009F54B7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出席人員：（詳簽到單）</w:t>
      </w:r>
      <w:r w:rsidR="009F54B7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         </w:t>
      </w:r>
      <w:r w:rsidR="008351FF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</w:t>
      </w:r>
      <w:r w:rsidR="00145EE6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</w:t>
      </w:r>
      <w:r w:rsidR="008351FF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</w:t>
      </w:r>
      <w:r w:rsidR="009F54B7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</w:t>
      </w:r>
    </w:p>
    <w:p w14:paraId="4DE61153" w14:textId="1C7D7906" w:rsidR="00871955" w:rsidRPr="004463A5" w:rsidRDefault="005D5666" w:rsidP="0071632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採購案簡報</w:t>
      </w:r>
      <w:r w:rsidR="00B678AC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  <w:r w:rsidR="00871955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（略）</w:t>
      </w:r>
    </w:p>
    <w:p w14:paraId="62850CC0" w14:textId="49326584" w:rsidR="00F13369" w:rsidRPr="004463A5" w:rsidRDefault="003F2064" w:rsidP="00CA64B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意見</w:t>
      </w:r>
      <w:r w:rsidR="00BD5EF4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交流</w:t>
      </w:r>
      <w:r w:rsidR="00871955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1549F054" w14:textId="77777777" w:rsidR="00BD5EF4" w:rsidRPr="004463A5" w:rsidRDefault="00BD5EF4" w:rsidP="00BD5EF4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</w:t>
      </w:r>
      <w:proofErr w:type="gramStart"/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</w:t>
      </w:r>
      <w:proofErr w:type="gramEnd"/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428F139B" w14:textId="203FE2F4" w:rsidR="00581B7D" w:rsidRDefault="00581B7D" w:rsidP="00BD5E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/>
          <w:color w:val="3C4043"/>
          <w:spacing w:val="3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產業</w:t>
      </w:r>
      <w:r w:rsidR="008254A9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分類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方式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應該</w:t>
      </w:r>
      <w:r w:rsidR="008254A9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容納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具有前瞻性、混血性的、新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創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性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的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產業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類型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，而不只是對於現況的描述與分析，要有未來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感與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預測性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，能掌握產業未來發展趨勢</w:t>
      </w:r>
      <w:r w:rsidR="00E63FBB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；建議產業調查報告要有英文重點</w:t>
      </w:r>
      <w:r w:rsidR="00363F26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摘錄</w:t>
      </w:r>
      <w:r w:rsidR="00E63FBB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版。</w:t>
      </w:r>
    </w:p>
    <w:p w14:paraId="3702D85E" w14:textId="05EFFEBF" w:rsidR="00CA64B5" w:rsidRPr="004463A5" w:rsidRDefault="00BD5EF4" w:rsidP="00BD5E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5499BC14" w14:textId="7FBAA107" w:rsidR="00BD5EF4" w:rsidRPr="004463A5" w:rsidRDefault="008254A9" w:rsidP="00BD5E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產業範疇的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調整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是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這次</w:t>
      </w:r>
      <w:r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檢討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的焦點，所以才會依據tag的邏輯，</w:t>
      </w:r>
      <w:proofErr w:type="gramStart"/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規劃線上統計</w:t>
      </w:r>
      <w:proofErr w:type="gramEnd"/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數據篩選、搜尋與呈現的系統，</w:t>
      </w:r>
      <w:r w:rsidR="00343EC4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以利掌握</w:t>
      </w:r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跨業</w:t>
      </w:r>
      <w:r w:rsidR="00343EC4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、</w:t>
      </w:r>
      <w:proofErr w:type="gramStart"/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跨域</w:t>
      </w:r>
      <w:r w:rsidR="00343EC4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、</w:t>
      </w:r>
      <w:proofErr w:type="gramEnd"/>
      <w:r w:rsidR="004E1128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新創產業類型的需求</w:t>
      </w:r>
      <w:r w:rsidR="00E63FBB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；文策院</w:t>
      </w:r>
      <w:r w:rsidR="00363F26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大部分</w:t>
      </w:r>
      <w:r w:rsidR="00E63FBB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對外出版品，原則會以中英</w:t>
      </w:r>
      <w:proofErr w:type="gramStart"/>
      <w:r w:rsidR="00E63FBB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併</w:t>
      </w:r>
      <w:proofErr w:type="gramEnd"/>
      <w:r w:rsidR="00E63FBB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陳方式辦理</w:t>
      </w:r>
      <w:r w:rsidR="00E66CF4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，不過</w:t>
      </w:r>
      <w:r w:rsidR="005B50AD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本案</w:t>
      </w:r>
      <w:r w:rsidR="00363F26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第1年重心會優先</w:t>
      </w:r>
      <w:proofErr w:type="gramStart"/>
      <w:r w:rsidR="005B50AD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把產調</w:t>
      </w:r>
      <w:proofErr w:type="gramEnd"/>
      <w:r w:rsidR="00363F26">
        <w:rPr>
          <w:rFonts w:ascii="微軟正黑體" w:eastAsia="微軟正黑體" w:hAnsi="微軟正黑體" w:hint="eastAsia"/>
          <w:color w:val="3C4043"/>
          <w:spacing w:val="3"/>
          <w:sz w:val="28"/>
          <w:szCs w:val="28"/>
          <w:shd w:val="clear" w:color="auto" w:fill="FFFFFF"/>
        </w:rPr>
        <w:t>工作做好。</w:t>
      </w:r>
    </w:p>
    <w:p w14:paraId="1454BE88" w14:textId="331B6317" w:rsidR="004E1128" w:rsidRDefault="00BD5EF4" w:rsidP="004E112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廠商二：</w:t>
      </w:r>
    </w:p>
    <w:p w14:paraId="3CB53855" w14:textId="1C8F5899" w:rsidR="004E1128" w:rsidRPr="004E1128" w:rsidRDefault="003D390B" w:rsidP="004E1128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有關電競產業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調查項目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不包含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硬體部分，這些硬體部分是指什麼，除了電腦，有包含賽事使用的展演設備嗎？</w:t>
      </w:r>
    </w:p>
    <w:p w14:paraId="79F7A091" w14:textId="0F3EF098" w:rsidR="00BD5EF4" w:rsidRDefault="004463A5" w:rsidP="004E1128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E1128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7CA0B747" w14:textId="5379824D" w:rsidR="004E1128" w:rsidRPr="00E66CF4" w:rsidRDefault="00F87740" w:rsidP="00E66CF4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排除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的</w:t>
      </w:r>
      <w:r w:rsidR="003D390B"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硬體部分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是指</w:t>
      </w:r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產值很大的</w:t>
      </w:r>
      <w:r w:rsidRPr="00E66CF4">
        <w:rPr>
          <w:rFonts w:ascii="微軟正黑體" w:eastAsia="微軟正黑體" w:hAnsi="微軟正黑體" w:cs="DFKaiShu-SB-Estd-BF"/>
          <w:kern w:val="0"/>
          <w:sz w:val="28"/>
          <w:szCs w:val="28"/>
        </w:rPr>
        <w:t>PC</w:t>
      </w:r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、</w:t>
      </w:r>
      <w:proofErr w:type="gramStart"/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筆電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及</w:t>
      </w:r>
      <w:proofErr w:type="gramEnd"/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其</w:t>
      </w:r>
      <w:proofErr w:type="gramStart"/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週</w:t>
      </w:r>
      <w:proofErr w:type="gramEnd"/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邊</w:t>
      </w:r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產品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，至於</w:t>
      </w:r>
      <w:r w:rsidR="000F313B"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辦理</w:t>
      </w:r>
      <w:r w:rsidR="003D390B"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電競賽事</w:t>
      </w:r>
      <w:r w:rsidR="000F313B"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使用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的</w:t>
      </w:r>
      <w:r w:rsidR="000F313B"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展演設備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</w:t>
      </w:r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與演唱會使用燈光音響舞台設備的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功能</w:t>
      </w:r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是一樣，所以是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屬於</w:t>
      </w:r>
      <w:r w:rsidRP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調查範疇。</w:t>
      </w:r>
    </w:p>
    <w:p w14:paraId="052D3779" w14:textId="13AAB524" w:rsidR="004E1128" w:rsidRDefault="004E1128" w:rsidP="004E112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lastRenderedPageBreak/>
        <w:t>廠商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三</w:t>
      </w:r>
      <w:proofErr w:type="gramEnd"/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00D55385" w14:textId="0CE04AAB" w:rsidR="00F87740" w:rsidRDefault="006E308D" w:rsidP="00F87740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遊戲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加電競的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產值相當大，但目前仍定位在數位內容相關產業，有些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上</w:t>
      </w:r>
      <w:r w:rsidR="002E2CE6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市櫃公司則歸類</w:t>
      </w:r>
      <w:proofErr w:type="gramStart"/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為</w:t>
      </w:r>
      <w:r w:rsidR="002E2CE6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文創類股</w:t>
      </w:r>
      <w:proofErr w:type="gramEnd"/>
      <w:r w:rsidR="002E2CE6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，應該給遊戲產業登記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上</w:t>
      </w:r>
      <w:r w:rsidR="002E2CE6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一個正式類別，而不是登記在貿易類、資訊服務類；有關遊戲平台，建議扶植一個本土的遊戲平台，而不是仰賴國外平台。</w:t>
      </w:r>
    </w:p>
    <w:p w14:paraId="347DF051" w14:textId="36F5944A" w:rsidR="002E2CE6" w:rsidRDefault="002E2CE6" w:rsidP="002E2CE6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0646BCF8" w14:textId="15759F68" w:rsidR="002E2CE6" w:rsidRPr="002E2CE6" w:rsidRDefault="002E2CE6" w:rsidP="002E2CE6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有關修正行業別以符合文化內容產業實際現況的問題，涉及到中央相關部會的配合，這也是文策院中長期</w:t>
      </w:r>
      <w:r w:rsidR="009A092A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推動目標，需要透過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各種</w:t>
      </w:r>
      <w:r w:rsidR="009A092A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倡議來爭取行政院相關部會的支持，無法在這次標案立即解決。</w:t>
      </w:r>
    </w:p>
    <w:p w14:paraId="1E713D90" w14:textId="11A5CCFE" w:rsidR="006E308D" w:rsidRDefault="004E1128" w:rsidP="006E308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廠商四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1F6B4F08" w14:textId="13BEA1FF" w:rsidR="009A092A" w:rsidRDefault="009A092A" w:rsidP="009A092A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支持這次調查範疇調整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方向，以及後續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加強與公協會合作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的執行方式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14:paraId="1B1A4BD7" w14:textId="3A3DA5B3" w:rsidR="009A092A" w:rsidRPr="009A092A" w:rsidRDefault="009A092A" w:rsidP="009A092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廠商五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1B47587C" w14:textId="42F7423C" w:rsidR="009A092A" w:rsidRDefault="009A092A" w:rsidP="009A092A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有關視覺化、模組化的執行策略，是要廠商建置資料庫，還是有其他方式與文策院合作執行。</w:t>
      </w:r>
    </w:p>
    <w:p w14:paraId="005CEBE1" w14:textId="239EA852" w:rsidR="009A092A" w:rsidRDefault="009A092A" w:rsidP="009A092A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18AC0AD0" w14:textId="5C2A7290" w:rsidR="009A092A" w:rsidRPr="009A092A" w:rsidRDefault="009A092A" w:rsidP="009A092A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文策院不只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有產調統計</w:t>
      </w:r>
      <w:proofErr w:type="gramEnd"/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會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視覺化處理，很多資訊也會以視覺化呈現，所以資料視覺化會由文策院與廠商</w:t>
      </w:r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共同協作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，同時也會邀請</w:t>
      </w:r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視覺化專家加入工作圈。這次的</w:t>
      </w:r>
      <w:proofErr w:type="gramStart"/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產調標</w:t>
      </w:r>
      <w:proofErr w:type="gramEnd"/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案執行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方式</w:t>
      </w:r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，不是以紙本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出版</w:t>
      </w:r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模式，而是</w:t>
      </w:r>
      <w:proofErr w:type="gramStart"/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以線上資料庫</w:t>
      </w:r>
      <w:proofErr w:type="gramEnd"/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來整體規劃，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所以</w:t>
      </w:r>
      <w:r w:rsidR="00E63FBB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資料的圖像化就不是那麼困難。</w:t>
      </w:r>
    </w:p>
    <w:p w14:paraId="179C5BF4" w14:textId="336EA52C" w:rsidR="009A092A" w:rsidRDefault="009A092A" w:rsidP="009A092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廠商六</w:t>
      </w:r>
      <w:r w:rsidR="00363F26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36C3655F" w14:textId="0E5F124E" w:rsidR="00363F26" w:rsidRPr="009A092A" w:rsidRDefault="00363F26" w:rsidP="00363F26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調查資料以財稅資料為主，但財稅資料本身有不少限制，最後的產出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可能有一些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項目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無法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量化，產值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的調查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是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只限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lastRenderedPageBreak/>
        <w:t>主項目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，還是所有子項目都要有。</w:t>
      </w:r>
    </w:p>
    <w:p w14:paraId="765E3822" w14:textId="0114C5EE" w:rsidR="009A092A" w:rsidRDefault="00363F26" w:rsidP="009A092A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文策院：</w:t>
      </w:r>
    </w:p>
    <w:p w14:paraId="14F9FBD4" w14:textId="138E3EFB" w:rsidR="00363F26" w:rsidRPr="009A092A" w:rsidRDefault="00363F26" w:rsidP="009A092A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有些類別子項目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確實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可能無法取得量化資料，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而需質化</w:t>
      </w:r>
      <w:proofErr w:type="gramEnd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處理，我們原則上希望所有子項目都</w:t>
      </w:r>
      <w:r w:rsidR="002F7730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能有量化資料，但個別子項目取得有困難，就個案處理。</w:t>
      </w:r>
    </w:p>
    <w:p w14:paraId="2C342172" w14:textId="6DF23C4D" w:rsidR="004E1128" w:rsidRDefault="006E308D" w:rsidP="004E112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</w:t>
      </w:r>
      <w:r w:rsidR="009A092A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七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5C744BD9" w14:textId="742B1E35" w:rsidR="00363F26" w:rsidRDefault="003B4ECD" w:rsidP="00363F26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國際</w:t>
      </w:r>
      <w:r w:rsidR="002F7730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標竿案例的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分析</w:t>
      </w:r>
      <w:r w:rsidR="002F7730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是否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也要上中下游的調查統計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14:paraId="226291B2" w14:textId="29A480C5" w:rsidR="00363F26" w:rsidRDefault="00363F26" w:rsidP="00363F26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1F3A508D" w14:textId="5ABF1AFB" w:rsidR="002F7730" w:rsidRDefault="003B4ECD" w:rsidP="00363F26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國際標竿案例是希望分析國外成功案例，</w:t>
      </w:r>
      <w:r w:rsidR="00E66CF4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探討其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商業模式有何特殊性，值得台灣學習參考，並非要做詳細的產業調查。</w:t>
      </w:r>
    </w:p>
    <w:p w14:paraId="4C786E67" w14:textId="1FE07A89" w:rsidR="004E1128" w:rsidRDefault="00363F26" w:rsidP="004E1128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520" w:lineRule="exact"/>
        <w:ind w:leftChars="0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廠商八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488911A0" w14:textId="0E853171" w:rsidR="002F7730" w:rsidRPr="003B4ECD" w:rsidRDefault="003B4ECD" w:rsidP="002F7730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有關</w:t>
      </w:r>
      <w:r w:rsidRPr="003B4ECD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國際產業趨勢觀察分析報導</w:t>
      </w:r>
      <w:r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工作項目，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其</w:t>
      </w:r>
      <w:r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趨勢指當年度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，</w:t>
      </w:r>
      <w:r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還是跨年度的趨勢，報導的呈現方式</w:t>
      </w:r>
    </w:p>
    <w:p w14:paraId="437750BF" w14:textId="488BE72D" w:rsidR="002F7730" w:rsidRDefault="002F7730" w:rsidP="002F7730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文策院</w:t>
      </w:r>
      <w:r w:rsidR="005B50A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：</w:t>
      </w:r>
    </w:p>
    <w:p w14:paraId="0AF89392" w14:textId="1168A759" w:rsidR="00BD5EF4" w:rsidRPr="00495A49" w:rsidRDefault="003B4ECD" w:rsidP="00495A49">
      <w:pPr>
        <w:pStyle w:val="a3"/>
        <w:autoSpaceDE w:val="0"/>
        <w:autoSpaceDN w:val="0"/>
        <w:adjustRightInd w:val="0"/>
        <w:spacing w:line="520" w:lineRule="exact"/>
        <w:ind w:leftChars="0" w:left="1287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3B4ECD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趨勢觀察分析報導</w:t>
      </w:r>
      <w:r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是一個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比較</w:t>
      </w:r>
      <w:r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即時</w:t>
      </w:r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情報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資訊的蒐集</w:t>
      </w:r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，像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蒐集</w:t>
      </w:r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今年的肺炎</w:t>
      </w:r>
      <w:proofErr w:type="gramStart"/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疫</w:t>
      </w:r>
      <w:proofErr w:type="gramEnd"/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情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對於</w:t>
      </w:r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產業的</w:t>
      </w:r>
      <w:r w:rsidR="00DB2CC3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各種</w:t>
      </w:r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衝擊</w:t>
      </w:r>
      <w:r w:rsidR="00DB2CC3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，以及分析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後續</w:t>
      </w:r>
      <w:r w:rsidR="00DB2CC3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可能</w:t>
      </w:r>
      <w:r w:rsidR="00923FEB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的影響</w:t>
      </w:r>
      <w:r w:rsidR="00495A49">
        <w:rPr>
          <w:rFonts w:ascii="微軟正黑體" w:eastAsia="微軟正黑體" w:hAnsi="微軟正黑體" w:cs="Calibri Light" w:hint="eastAsia"/>
          <w:color w:val="000000" w:themeColor="text1"/>
          <w:sz w:val="28"/>
          <w:szCs w:val="28"/>
        </w:rPr>
        <w:t>。</w:t>
      </w:r>
    </w:p>
    <w:p w14:paraId="2715275C" w14:textId="6030E87C" w:rsidR="00C863C1" w:rsidRPr="004463A5" w:rsidRDefault="004A08A7" w:rsidP="000F56B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leftChars="0" w:left="567" w:hanging="567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散</w:t>
      </w:r>
      <w:r w:rsidR="000738CF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會（下午</w:t>
      </w:r>
      <w:r w:rsidR="004463A5">
        <w:rPr>
          <w:rFonts w:ascii="微軟正黑體" w:eastAsia="微軟正黑體" w:hAnsi="微軟正黑體" w:cs="DFKaiShu-SB-Estd-BF"/>
          <w:kern w:val="0"/>
          <w:sz w:val="28"/>
          <w:szCs w:val="28"/>
        </w:rPr>
        <w:t>3</w:t>
      </w:r>
      <w:r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時</w:t>
      </w:r>
      <w:r w:rsidR="00581B7D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20</w:t>
      </w:r>
      <w:r w:rsid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分</w:t>
      </w:r>
      <w:r w:rsidR="00C863C1" w:rsidRPr="004463A5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）</w:t>
      </w:r>
    </w:p>
    <w:p w14:paraId="7193B049" w14:textId="77777777" w:rsidR="00716324" w:rsidRPr="004463A5" w:rsidRDefault="00716324" w:rsidP="000F56BF">
      <w:pPr>
        <w:autoSpaceDE w:val="0"/>
        <w:autoSpaceDN w:val="0"/>
        <w:adjustRightInd w:val="0"/>
        <w:spacing w:line="520" w:lineRule="exact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</w:p>
    <w:sectPr w:rsidR="00716324" w:rsidRPr="004463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C7CD" w14:textId="77777777" w:rsidR="00D72B96" w:rsidRDefault="00D72B96" w:rsidP="00035A1F">
      <w:r>
        <w:separator/>
      </w:r>
    </w:p>
  </w:endnote>
  <w:endnote w:type="continuationSeparator" w:id="0">
    <w:p w14:paraId="73C7DEE7" w14:textId="77777777" w:rsidR="00D72B96" w:rsidRDefault="00D72B96" w:rsidP="0003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163107"/>
      <w:docPartObj>
        <w:docPartGallery w:val="Page Numbers (Bottom of Page)"/>
        <w:docPartUnique/>
      </w:docPartObj>
    </w:sdtPr>
    <w:sdtEndPr/>
    <w:sdtContent>
      <w:p w14:paraId="6E92AF25" w14:textId="77777777" w:rsidR="00DE386E" w:rsidRDefault="00DE38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C7" w:rsidRPr="00FB73C7">
          <w:rPr>
            <w:noProof/>
            <w:lang w:val="zh-TW"/>
          </w:rPr>
          <w:t>2</w:t>
        </w:r>
        <w:r>
          <w:fldChar w:fldCharType="end"/>
        </w:r>
      </w:p>
    </w:sdtContent>
  </w:sdt>
  <w:p w14:paraId="0C561655" w14:textId="77777777" w:rsidR="00DE386E" w:rsidRDefault="00DE3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6720" w14:textId="77777777" w:rsidR="00D72B96" w:rsidRDefault="00D72B96" w:rsidP="00035A1F">
      <w:r>
        <w:separator/>
      </w:r>
    </w:p>
  </w:footnote>
  <w:footnote w:type="continuationSeparator" w:id="0">
    <w:p w14:paraId="15B51FD4" w14:textId="77777777" w:rsidR="00D72B96" w:rsidRDefault="00D72B96" w:rsidP="0003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8362B4"/>
    <w:multiLevelType w:val="multilevel"/>
    <w:tmpl w:val="B58362B4"/>
    <w:lvl w:ilvl="0">
      <w:start w:val="1"/>
      <w:numFmt w:val="decimal"/>
      <w:lvlText w:val="%1."/>
      <w:lvlJc w:val="left"/>
      <w:pPr>
        <w:ind w:left="6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480"/>
        </w:tabs>
        <w:ind w:left="48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900"/>
        </w:tabs>
        <w:ind w:left="90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320"/>
        </w:tabs>
        <w:ind w:left="132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1740"/>
        </w:tabs>
        <w:ind w:left="174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160"/>
        </w:tabs>
        <w:ind w:left="216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580"/>
        </w:tabs>
        <w:ind w:left="258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000"/>
        </w:tabs>
        <w:ind w:left="300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420"/>
        </w:tabs>
        <w:ind w:left="3420" w:hanging="420"/>
      </w:pPr>
      <w:rPr>
        <w:rFonts w:hint="default"/>
      </w:rPr>
    </w:lvl>
  </w:abstractNum>
  <w:abstractNum w:abstractNumId="1" w15:restartNumberingAfterBreak="0">
    <w:nsid w:val="15201F75"/>
    <w:multiLevelType w:val="hybridMultilevel"/>
    <w:tmpl w:val="F4421572"/>
    <w:lvl w:ilvl="0" w:tplc="3B22E6C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66D2A"/>
    <w:multiLevelType w:val="hybridMultilevel"/>
    <w:tmpl w:val="6A6041E2"/>
    <w:lvl w:ilvl="0" w:tplc="10922182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14CE2"/>
    <w:multiLevelType w:val="hybridMultilevel"/>
    <w:tmpl w:val="EB9C6AD0"/>
    <w:lvl w:ilvl="0" w:tplc="AC5AA96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636E0"/>
    <w:multiLevelType w:val="hybridMultilevel"/>
    <w:tmpl w:val="74626A10"/>
    <w:lvl w:ilvl="0" w:tplc="C4DCBC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B18D13A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1B18D13A">
      <w:start w:val="1"/>
      <w:numFmt w:val="decimal"/>
      <w:lvlText w:val="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F110E5"/>
    <w:multiLevelType w:val="hybridMultilevel"/>
    <w:tmpl w:val="B8B8E4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27FE0"/>
    <w:multiLevelType w:val="hybridMultilevel"/>
    <w:tmpl w:val="C728ECE4"/>
    <w:lvl w:ilvl="0" w:tplc="8DE4F454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DFKaiShu-SB-Estd-BF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A8927A1"/>
    <w:multiLevelType w:val="hybridMultilevel"/>
    <w:tmpl w:val="F97CD6EC"/>
    <w:lvl w:ilvl="0" w:tplc="1B18D13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5952792C"/>
    <w:multiLevelType w:val="hybridMultilevel"/>
    <w:tmpl w:val="63B82902"/>
    <w:lvl w:ilvl="0" w:tplc="F37A2F20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205F2"/>
    <w:multiLevelType w:val="hybridMultilevel"/>
    <w:tmpl w:val="78582F1A"/>
    <w:lvl w:ilvl="0" w:tplc="07349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062645"/>
    <w:multiLevelType w:val="hybridMultilevel"/>
    <w:tmpl w:val="0088DF86"/>
    <w:lvl w:ilvl="0" w:tplc="A26214D8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4A24D05"/>
    <w:multiLevelType w:val="hybridMultilevel"/>
    <w:tmpl w:val="726892CC"/>
    <w:lvl w:ilvl="0" w:tplc="89CAB09A">
      <w:start w:val="1"/>
      <w:numFmt w:val="ideographLegalTraditional"/>
      <w:lvlText w:val="第%1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2359FE"/>
    <w:multiLevelType w:val="hybridMultilevel"/>
    <w:tmpl w:val="A9D83524"/>
    <w:lvl w:ilvl="0" w:tplc="EF82CE4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255D7"/>
    <w:multiLevelType w:val="hybridMultilevel"/>
    <w:tmpl w:val="DB7E3266"/>
    <w:lvl w:ilvl="0" w:tplc="BC70B4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zUwMbMwNDU0tDRV0lEKTi0uzszPAykwqQUAfM5rICwAAAA="/>
  </w:docVars>
  <w:rsids>
    <w:rsidRoot w:val="00716324"/>
    <w:rsid w:val="000064BD"/>
    <w:rsid w:val="0003026E"/>
    <w:rsid w:val="00035A1F"/>
    <w:rsid w:val="0005589B"/>
    <w:rsid w:val="000738CF"/>
    <w:rsid w:val="00090747"/>
    <w:rsid w:val="000C357E"/>
    <w:rsid w:val="000E79FE"/>
    <w:rsid w:val="000F313B"/>
    <w:rsid w:val="000F56BF"/>
    <w:rsid w:val="00100FE5"/>
    <w:rsid w:val="00102A79"/>
    <w:rsid w:val="00145EE6"/>
    <w:rsid w:val="001602AF"/>
    <w:rsid w:val="00165899"/>
    <w:rsid w:val="0018003D"/>
    <w:rsid w:val="001839BB"/>
    <w:rsid w:val="001D0AB7"/>
    <w:rsid w:val="001D5051"/>
    <w:rsid w:val="001E5326"/>
    <w:rsid w:val="0021007B"/>
    <w:rsid w:val="002226EF"/>
    <w:rsid w:val="00251B1F"/>
    <w:rsid w:val="00282C69"/>
    <w:rsid w:val="002935D6"/>
    <w:rsid w:val="002959CC"/>
    <w:rsid w:val="00296C1E"/>
    <w:rsid w:val="002C5E35"/>
    <w:rsid w:val="002E2CE6"/>
    <w:rsid w:val="002E3B40"/>
    <w:rsid w:val="002F7730"/>
    <w:rsid w:val="00311ACF"/>
    <w:rsid w:val="00343EC4"/>
    <w:rsid w:val="00346FEB"/>
    <w:rsid w:val="00363F26"/>
    <w:rsid w:val="00391AED"/>
    <w:rsid w:val="003B2CC7"/>
    <w:rsid w:val="003B4ECD"/>
    <w:rsid w:val="003C33DB"/>
    <w:rsid w:val="003D390B"/>
    <w:rsid w:val="003D7182"/>
    <w:rsid w:val="003E20C1"/>
    <w:rsid w:val="003E65E5"/>
    <w:rsid w:val="003F2064"/>
    <w:rsid w:val="004242BB"/>
    <w:rsid w:val="00436063"/>
    <w:rsid w:val="004463A5"/>
    <w:rsid w:val="00470BF6"/>
    <w:rsid w:val="0048447E"/>
    <w:rsid w:val="0048790B"/>
    <w:rsid w:val="00495A49"/>
    <w:rsid w:val="004A08A7"/>
    <w:rsid w:val="004A1D31"/>
    <w:rsid w:val="004B59D0"/>
    <w:rsid w:val="004E1128"/>
    <w:rsid w:val="00517B7D"/>
    <w:rsid w:val="005302E5"/>
    <w:rsid w:val="005519AC"/>
    <w:rsid w:val="0057184B"/>
    <w:rsid w:val="00581B7D"/>
    <w:rsid w:val="00583695"/>
    <w:rsid w:val="005B50AD"/>
    <w:rsid w:val="005D10A6"/>
    <w:rsid w:val="005D5666"/>
    <w:rsid w:val="005E0EFF"/>
    <w:rsid w:val="006213C6"/>
    <w:rsid w:val="00651930"/>
    <w:rsid w:val="00651F44"/>
    <w:rsid w:val="0066766D"/>
    <w:rsid w:val="006678E9"/>
    <w:rsid w:val="00676E5C"/>
    <w:rsid w:val="00683491"/>
    <w:rsid w:val="006944D4"/>
    <w:rsid w:val="006C09B2"/>
    <w:rsid w:val="006E308D"/>
    <w:rsid w:val="006F3DA5"/>
    <w:rsid w:val="00703AD8"/>
    <w:rsid w:val="00716324"/>
    <w:rsid w:val="00723AEF"/>
    <w:rsid w:val="0074300A"/>
    <w:rsid w:val="0074341B"/>
    <w:rsid w:val="00755699"/>
    <w:rsid w:val="00761465"/>
    <w:rsid w:val="00771F04"/>
    <w:rsid w:val="008153AA"/>
    <w:rsid w:val="008254A9"/>
    <w:rsid w:val="008351FF"/>
    <w:rsid w:val="00836533"/>
    <w:rsid w:val="00850E5D"/>
    <w:rsid w:val="008527DC"/>
    <w:rsid w:val="00854C3C"/>
    <w:rsid w:val="00854E70"/>
    <w:rsid w:val="00871955"/>
    <w:rsid w:val="008929A7"/>
    <w:rsid w:val="008B179E"/>
    <w:rsid w:val="008C4E19"/>
    <w:rsid w:val="008C7BE1"/>
    <w:rsid w:val="008E1CD0"/>
    <w:rsid w:val="008E5A93"/>
    <w:rsid w:val="00911C18"/>
    <w:rsid w:val="00917EB1"/>
    <w:rsid w:val="00923FEB"/>
    <w:rsid w:val="00942AF7"/>
    <w:rsid w:val="009671DB"/>
    <w:rsid w:val="009811DF"/>
    <w:rsid w:val="009A092A"/>
    <w:rsid w:val="009A1EFA"/>
    <w:rsid w:val="009E277B"/>
    <w:rsid w:val="009E2995"/>
    <w:rsid w:val="009F54B7"/>
    <w:rsid w:val="009F63C5"/>
    <w:rsid w:val="00A2742B"/>
    <w:rsid w:val="00A31F6C"/>
    <w:rsid w:val="00A669EA"/>
    <w:rsid w:val="00AE060D"/>
    <w:rsid w:val="00B000EB"/>
    <w:rsid w:val="00B442E0"/>
    <w:rsid w:val="00B46BAE"/>
    <w:rsid w:val="00B47773"/>
    <w:rsid w:val="00B6066A"/>
    <w:rsid w:val="00B678AC"/>
    <w:rsid w:val="00B7003E"/>
    <w:rsid w:val="00B700BA"/>
    <w:rsid w:val="00B72AF4"/>
    <w:rsid w:val="00B7653F"/>
    <w:rsid w:val="00BA1488"/>
    <w:rsid w:val="00BC17D8"/>
    <w:rsid w:val="00BC4AC8"/>
    <w:rsid w:val="00BD5EF4"/>
    <w:rsid w:val="00C836CF"/>
    <w:rsid w:val="00C863C1"/>
    <w:rsid w:val="00C92A90"/>
    <w:rsid w:val="00C93ABC"/>
    <w:rsid w:val="00CA64B5"/>
    <w:rsid w:val="00CB5E81"/>
    <w:rsid w:val="00CD3144"/>
    <w:rsid w:val="00D0021B"/>
    <w:rsid w:val="00D129C0"/>
    <w:rsid w:val="00D34431"/>
    <w:rsid w:val="00D50C3C"/>
    <w:rsid w:val="00D72B96"/>
    <w:rsid w:val="00D86E25"/>
    <w:rsid w:val="00D952D4"/>
    <w:rsid w:val="00D96D02"/>
    <w:rsid w:val="00DB2CC3"/>
    <w:rsid w:val="00DC2FAA"/>
    <w:rsid w:val="00DD5FDA"/>
    <w:rsid w:val="00DE386E"/>
    <w:rsid w:val="00DE67DA"/>
    <w:rsid w:val="00DF7BA3"/>
    <w:rsid w:val="00E57D00"/>
    <w:rsid w:val="00E63FBB"/>
    <w:rsid w:val="00E66CF4"/>
    <w:rsid w:val="00E73DBA"/>
    <w:rsid w:val="00E77C6A"/>
    <w:rsid w:val="00E87719"/>
    <w:rsid w:val="00EA7AA8"/>
    <w:rsid w:val="00EB77BD"/>
    <w:rsid w:val="00F0593E"/>
    <w:rsid w:val="00F13369"/>
    <w:rsid w:val="00F50A22"/>
    <w:rsid w:val="00F8472E"/>
    <w:rsid w:val="00F87740"/>
    <w:rsid w:val="00F91CFD"/>
    <w:rsid w:val="00F961C7"/>
    <w:rsid w:val="00FA0515"/>
    <w:rsid w:val="00FA51E9"/>
    <w:rsid w:val="00FB73C7"/>
    <w:rsid w:val="00FD4D24"/>
    <w:rsid w:val="00FD61A3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A5473"/>
  <w15:chartTrackingRefBased/>
  <w15:docId w15:val="{063F8E61-0B37-4B5C-866F-15DA1DE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A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A1F"/>
    <w:rPr>
      <w:sz w:val="20"/>
      <w:szCs w:val="20"/>
    </w:rPr>
  </w:style>
  <w:style w:type="character" w:customStyle="1" w:styleId="ynrlnc">
    <w:name w:val="ynrlnc"/>
    <w:basedOn w:val="a0"/>
    <w:rsid w:val="005D5666"/>
  </w:style>
  <w:style w:type="character" w:customStyle="1" w:styleId="normaltextrun">
    <w:name w:val="normaltextrun"/>
    <w:basedOn w:val="a0"/>
    <w:rsid w:val="0058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蔡郁崇</dc:creator>
  <cp:keywords/>
  <dc:description/>
  <cp:lastModifiedBy>郁崇 蔡</cp:lastModifiedBy>
  <cp:revision>2</cp:revision>
  <dcterms:created xsi:type="dcterms:W3CDTF">2020-06-08T08:51:00Z</dcterms:created>
  <dcterms:modified xsi:type="dcterms:W3CDTF">2020-06-08T08:51:00Z</dcterms:modified>
</cp:coreProperties>
</file>